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D6568F" w:rsidRPr="008E1D28" w:rsidRDefault="00D6568F" w:rsidP="008E1D28">
      <w:pPr>
        <w:spacing w:line="480" w:lineRule="auto"/>
        <w:ind w:firstLine="720"/>
        <w:rPr>
          <w:rFonts w:ascii="Times New Roman" w:hAnsi="Times New Roman" w:cs="Times New Roman"/>
          <w:sz w:val="24"/>
          <w:szCs w:val="24"/>
        </w:rPr>
      </w:pPr>
    </w:p>
    <w:p w:rsidR="00A4553F" w:rsidRPr="008E1D28" w:rsidRDefault="00A4553F" w:rsidP="007F3C2F">
      <w:pPr>
        <w:spacing w:line="480" w:lineRule="auto"/>
        <w:jc w:val="center"/>
        <w:rPr>
          <w:rFonts w:ascii="Times New Roman" w:hAnsi="Times New Roman" w:cs="Times New Roman"/>
          <w:sz w:val="24"/>
          <w:szCs w:val="24"/>
        </w:rPr>
      </w:pPr>
      <w:r w:rsidRPr="008E1D28">
        <w:rPr>
          <w:rFonts w:ascii="Times New Roman" w:hAnsi="Times New Roman" w:cs="Times New Roman"/>
          <w:sz w:val="24"/>
          <w:szCs w:val="24"/>
        </w:rPr>
        <w:t xml:space="preserve">Grant </w:t>
      </w:r>
      <w:r w:rsidR="008E1D28">
        <w:rPr>
          <w:rFonts w:ascii="Times New Roman" w:hAnsi="Times New Roman" w:cs="Times New Roman"/>
          <w:sz w:val="24"/>
          <w:szCs w:val="24"/>
        </w:rPr>
        <w:t>Funding Formula f</w:t>
      </w:r>
      <w:r w:rsidR="008E1D28" w:rsidRPr="008E1D28">
        <w:rPr>
          <w:rFonts w:ascii="Times New Roman" w:hAnsi="Times New Roman" w:cs="Times New Roman"/>
          <w:sz w:val="24"/>
          <w:szCs w:val="24"/>
        </w:rPr>
        <w:t>or Homeland Security.</w:t>
      </w:r>
    </w:p>
    <w:p w:rsidR="00A4553F" w:rsidRPr="008E1D28" w:rsidRDefault="00A4553F" w:rsidP="007F3C2F">
      <w:pPr>
        <w:spacing w:line="480" w:lineRule="auto"/>
        <w:jc w:val="center"/>
        <w:rPr>
          <w:rFonts w:ascii="Times New Roman" w:hAnsi="Times New Roman" w:cs="Times New Roman"/>
          <w:sz w:val="24"/>
          <w:szCs w:val="24"/>
        </w:rPr>
      </w:pPr>
      <w:r w:rsidRPr="008E1D28">
        <w:rPr>
          <w:rFonts w:ascii="Times New Roman" w:hAnsi="Times New Roman" w:cs="Times New Roman"/>
          <w:sz w:val="24"/>
          <w:szCs w:val="24"/>
        </w:rPr>
        <w:t>Name</w:t>
      </w:r>
      <w:r w:rsidR="008E1D28" w:rsidRPr="008E1D28">
        <w:rPr>
          <w:rFonts w:ascii="Times New Roman" w:hAnsi="Times New Roman" w:cs="Times New Roman"/>
          <w:sz w:val="24"/>
          <w:szCs w:val="24"/>
        </w:rPr>
        <w:t>.</w:t>
      </w:r>
    </w:p>
    <w:p w:rsidR="00A4553F" w:rsidRPr="008E1D28" w:rsidRDefault="00A4553F" w:rsidP="007F3C2F">
      <w:pPr>
        <w:spacing w:line="480" w:lineRule="auto"/>
        <w:jc w:val="center"/>
        <w:rPr>
          <w:rFonts w:ascii="Times New Roman" w:hAnsi="Times New Roman" w:cs="Times New Roman"/>
          <w:sz w:val="24"/>
          <w:szCs w:val="24"/>
        </w:rPr>
      </w:pPr>
      <w:r w:rsidRPr="008E1D28">
        <w:rPr>
          <w:rFonts w:ascii="Times New Roman" w:hAnsi="Times New Roman" w:cs="Times New Roman"/>
          <w:sz w:val="24"/>
          <w:szCs w:val="24"/>
        </w:rPr>
        <w:t>Institution</w:t>
      </w:r>
      <w:r w:rsidR="008E1D28" w:rsidRPr="008E1D28">
        <w:rPr>
          <w:rFonts w:ascii="Times New Roman" w:hAnsi="Times New Roman" w:cs="Times New Roman"/>
          <w:sz w:val="24"/>
          <w:szCs w:val="24"/>
        </w:rPr>
        <w:t>.</w:t>
      </w:r>
    </w:p>
    <w:p w:rsidR="007F3C2F" w:rsidRDefault="007F3C2F" w:rsidP="007F3C2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3C2F" w:rsidRDefault="007F3C2F" w:rsidP="007F3C2F">
      <w:pPr>
        <w:spacing w:line="480" w:lineRule="auto"/>
        <w:jc w:val="center"/>
        <w:rPr>
          <w:rFonts w:ascii="Times New Roman" w:hAnsi="Times New Roman" w:cs="Times New Roman"/>
          <w:sz w:val="24"/>
          <w:szCs w:val="24"/>
        </w:rPr>
      </w:pPr>
    </w:p>
    <w:p w:rsidR="007F3C2F" w:rsidRDefault="007F3C2F" w:rsidP="007F3C2F">
      <w:pPr>
        <w:spacing w:line="480" w:lineRule="auto"/>
        <w:jc w:val="center"/>
        <w:rPr>
          <w:rFonts w:ascii="Times New Roman" w:hAnsi="Times New Roman" w:cs="Times New Roman"/>
          <w:sz w:val="24"/>
          <w:szCs w:val="24"/>
        </w:rPr>
      </w:pPr>
    </w:p>
    <w:p w:rsidR="007F3C2F" w:rsidRDefault="007F3C2F" w:rsidP="007F3C2F">
      <w:pPr>
        <w:spacing w:line="480" w:lineRule="auto"/>
        <w:jc w:val="center"/>
        <w:rPr>
          <w:rFonts w:ascii="Times New Roman" w:hAnsi="Times New Roman" w:cs="Times New Roman"/>
          <w:sz w:val="24"/>
          <w:szCs w:val="24"/>
        </w:rPr>
      </w:pPr>
    </w:p>
    <w:p w:rsidR="007F3C2F" w:rsidRDefault="007F3C2F" w:rsidP="007F3C2F">
      <w:pPr>
        <w:spacing w:line="480" w:lineRule="auto"/>
        <w:jc w:val="center"/>
        <w:rPr>
          <w:rFonts w:ascii="Times New Roman" w:hAnsi="Times New Roman" w:cs="Times New Roman"/>
          <w:sz w:val="24"/>
          <w:szCs w:val="24"/>
        </w:rPr>
      </w:pPr>
    </w:p>
    <w:p w:rsidR="00A4553F" w:rsidRPr="008E1D28" w:rsidRDefault="00A4553F" w:rsidP="00A81057">
      <w:pPr>
        <w:spacing w:line="480" w:lineRule="auto"/>
        <w:jc w:val="center"/>
        <w:rPr>
          <w:rFonts w:ascii="Times New Roman" w:hAnsi="Times New Roman" w:cs="Times New Roman"/>
          <w:sz w:val="24"/>
          <w:szCs w:val="24"/>
        </w:rPr>
      </w:pPr>
      <w:r w:rsidRPr="008E1D28">
        <w:rPr>
          <w:rFonts w:ascii="Times New Roman" w:hAnsi="Times New Roman" w:cs="Times New Roman"/>
          <w:sz w:val="24"/>
          <w:szCs w:val="24"/>
        </w:rPr>
        <w:lastRenderedPageBreak/>
        <w:t xml:space="preserve">Grant </w:t>
      </w:r>
      <w:r w:rsidR="008E1D28">
        <w:rPr>
          <w:rFonts w:ascii="Times New Roman" w:hAnsi="Times New Roman" w:cs="Times New Roman"/>
          <w:sz w:val="24"/>
          <w:szCs w:val="24"/>
        </w:rPr>
        <w:t>Funding Formula f</w:t>
      </w:r>
      <w:r w:rsidR="008E1D28" w:rsidRPr="008E1D28">
        <w:rPr>
          <w:rFonts w:ascii="Times New Roman" w:hAnsi="Times New Roman" w:cs="Times New Roman"/>
          <w:sz w:val="24"/>
          <w:szCs w:val="24"/>
        </w:rPr>
        <w:t>or Homeland Security.</w:t>
      </w:r>
    </w:p>
    <w:p w:rsidR="00A4553F" w:rsidRPr="008E1D28" w:rsidRDefault="00A4553F" w:rsidP="008E1D28">
      <w:pPr>
        <w:spacing w:line="480" w:lineRule="auto"/>
        <w:ind w:firstLine="720"/>
        <w:rPr>
          <w:rFonts w:ascii="Times New Roman" w:hAnsi="Times New Roman" w:cs="Times New Roman"/>
          <w:sz w:val="24"/>
          <w:szCs w:val="24"/>
        </w:rPr>
      </w:pPr>
      <w:r w:rsidRPr="008E1D28">
        <w:rPr>
          <w:rFonts w:ascii="Times New Roman" w:hAnsi="Times New Roman" w:cs="Times New Roman"/>
          <w:sz w:val="24"/>
          <w:szCs w:val="24"/>
        </w:rPr>
        <w:t xml:space="preserve">One of the problems affecting the Department of Homeland security in the United States is a lack of adequate financial resources. However, members of Congress have always had different opinions on the best formula to be used in the allocation of grant funding assistance to Homeland Security for the state, tribal, and territorial governments. Most are the governments in the world allocate resources using the population formulas, but this should not be applicable when allocating finances to any security or emergency related departments. The reason is that not all places with a large population are exposed to risks and threats as the per-capita formula suggests (Bullock, Haddow, &amp; Coppola, 2013). As the director of Homeland Security in New York, I would prefer to use a risk-based formula in allocating financial resources within my state. </w:t>
      </w:r>
    </w:p>
    <w:p w:rsidR="00A4553F" w:rsidRPr="008E1D28" w:rsidRDefault="00A4553F" w:rsidP="008E1D28">
      <w:pPr>
        <w:spacing w:line="480" w:lineRule="auto"/>
        <w:ind w:firstLine="720"/>
        <w:rPr>
          <w:rFonts w:ascii="Times New Roman" w:hAnsi="Times New Roman" w:cs="Times New Roman"/>
          <w:sz w:val="24"/>
          <w:szCs w:val="24"/>
        </w:rPr>
      </w:pPr>
      <w:r w:rsidRPr="008E1D28">
        <w:rPr>
          <w:rFonts w:ascii="Times New Roman" w:hAnsi="Times New Roman" w:cs="Times New Roman"/>
          <w:sz w:val="24"/>
          <w:szCs w:val="24"/>
        </w:rPr>
        <w:t>The Department of Homeland Security (DHS) has many risks to cover, which have different rates levels of vulnerability to hazards. For this reason, I would use the risk-based approach to ensure that financial resources are allocated depending on the frequency of threats within the departments. For example, the Trucking Security Program (TSP) needs a lot of financial resources because it deals with sensitive matters like counter-terrorism and security mindfulness preparation for tracking industry specialists. These risks repeatedly occur during a fiscal year (Masse, Neil, &amp; Rollins, 2007). Another program which requires more financial aid is All-hazard Preparedness Grant Programs. This program emphasizes on countering any emergencies despite their causes. Using the risk-based formula would make the programs fully functioning and hence reducing the risk of resources.</w:t>
      </w:r>
    </w:p>
    <w:p w:rsidR="00A4553F" w:rsidRPr="008E1D28" w:rsidRDefault="00A4553F" w:rsidP="008E1D28">
      <w:pPr>
        <w:spacing w:line="480" w:lineRule="auto"/>
        <w:ind w:firstLine="720"/>
        <w:rPr>
          <w:rFonts w:ascii="Times New Roman" w:hAnsi="Times New Roman" w:cs="Times New Roman"/>
          <w:sz w:val="24"/>
          <w:szCs w:val="24"/>
        </w:rPr>
      </w:pPr>
      <w:r w:rsidRPr="008E1D28">
        <w:rPr>
          <w:rFonts w:ascii="Times New Roman" w:hAnsi="Times New Roman" w:cs="Times New Roman"/>
          <w:sz w:val="24"/>
          <w:szCs w:val="24"/>
        </w:rPr>
        <w:lastRenderedPageBreak/>
        <w:t>Another reason I would choose a risk-based approach is that this formula considers the number of professionals in a particular program. Some risks need to be addressed by many qualified workforces than others (Masse, Neil, &amp; Rollins, 2007). For instance, fire outbreaks within the cities need to be handled faster before the fire spread to affect a broader area. It then calls for many firefighting personnel and equipment; this will intern demand more financial allocations. Let us consider a hazard that can be managed by a few people as in the Citizen Corp Program that is already a local community operation. I would only allocate funds to this program when the risk to be handled is beyond the maintenance of the community.</w:t>
      </w:r>
    </w:p>
    <w:p w:rsidR="00A4553F" w:rsidRPr="008E1D28" w:rsidRDefault="00A4553F" w:rsidP="008E1D28">
      <w:pPr>
        <w:spacing w:line="480" w:lineRule="auto"/>
        <w:ind w:firstLine="720"/>
        <w:rPr>
          <w:rFonts w:ascii="Times New Roman" w:hAnsi="Times New Roman" w:cs="Times New Roman"/>
          <w:sz w:val="24"/>
          <w:szCs w:val="24"/>
        </w:rPr>
      </w:pPr>
      <w:r w:rsidRPr="008E1D28">
        <w:rPr>
          <w:rFonts w:ascii="Times New Roman" w:hAnsi="Times New Roman" w:cs="Times New Roman"/>
          <w:sz w:val="24"/>
          <w:szCs w:val="24"/>
        </w:rPr>
        <w:t>Additionally, the risk-based formula has been proved valid than the per-capita method. Therefore, I would apply this formula to my leadership. The per-capita formula has a faulty assumption that areas which are resided by many people are more vulnerable than the areas with a lesser population (United States Government Accountability Office, 2008). This assumption is only applicable under certain circumstances. In reflection, our state has congested cities which register a few numbers of risks as compared to the rural areas. As well, an area which has high risk tends to have fewer residents than areas which are not subjected to many perils due to fear by the majority of the individuals. Due to this reason, I would dismiss the per-capita formula and advocate for risk-based formula.</w:t>
      </w:r>
    </w:p>
    <w:p w:rsidR="00A4553F" w:rsidRPr="008E1D28" w:rsidRDefault="00A4553F" w:rsidP="00A81057">
      <w:pPr>
        <w:spacing w:line="480" w:lineRule="auto"/>
        <w:ind w:firstLine="720"/>
        <w:rPr>
          <w:rFonts w:ascii="Times New Roman" w:hAnsi="Times New Roman" w:cs="Times New Roman"/>
          <w:sz w:val="24"/>
          <w:szCs w:val="24"/>
        </w:rPr>
      </w:pPr>
      <w:r w:rsidRPr="008E1D28">
        <w:rPr>
          <w:rFonts w:ascii="Times New Roman" w:hAnsi="Times New Roman" w:cs="Times New Roman"/>
          <w:sz w:val="24"/>
          <w:szCs w:val="24"/>
        </w:rPr>
        <w:t xml:space="preserve">The risk-based formula reduces the effect of duplication of financial resources. Duplication occurs when a particular department is used to getting higher financial allocations simultaneously over the fiscal years without using the finances allocated due to lack of a peril to handle (Reese, 2009).  The risk-based approach helps in giving funds depending on the </w:t>
      </w:r>
      <w:r w:rsidRPr="008E1D28">
        <w:rPr>
          <w:rFonts w:ascii="Times New Roman" w:hAnsi="Times New Roman" w:cs="Times New Roman"/>
          <w:sz w:val="24"/>
          <w:szCs w:val="24"/>
        </w:rPr>
        <w:lastRenderedPageBreak/>
        <w:t xml:space="preserve">occurrence of risk or the intensity of destruction that occurs due to the risk. The greater the intensity of risk, the higher the financial resources I would allocate to the program concerned. </w:t>
      </w:r>
    </w:p>
    <w:p w:rsidR="003E454A" w:rsidRDefault="00A4553F" w:rsidP="003E454A">
      <w:pPr>
        <w:spacing w:line="480" w:lineRule="auto"/>
        <w:ind w:firstLine="720"/>
        <w:rPr>
          <w:rFonts w:ascii="Times New Roman" w:hAnsi="Times New Roman" w:cs="Times New Roman"/>
          <w:sz w:val="24"/>
          <w:szCs w:val="24"/>
        </w:rPr>
      </w:pPr>
      <w:r w:rsidRPr="008E1D28">
        <w:rPr>
          <w:rFonts w:ascii="Times New Roman" w:hAnsi="Times New Roman" w:cs="Times New Roman"/>
          <w:sz w:val="24"/>
          <w:szCs w:val="24"/>
        </w:rPr>
        <w:t>In summation, the risk-based approach is excellent since it advocates for the allocation of resources depending on the frequency of risk occurrence. This implies that a program that must deal with perils should be given larger financial support. As well, the risk-based formula gives priority to the intensity of the risk when it occurs. Intensity considers the number of lives and property destroyed by a specified peril. The population-based approach limits some areas which are vulnerable to receiving adequate finances du</w:t>
      </w:r>
      <w:r w:rsidR="003E454A">
        <w:rPr>
          <w:rFonts w:ascii="Times New Roman" w:hAnsi="Times New Roman" w:cs="Times New Roman"/>
          <w:sz w:val="24"/>
          <w:szCs w:val="24"/>
        </w:rPr>
        <w:t xml:space="preserve">e to their smaller population. </w:t>
      </w:r>
    </w:p>
    <w:p w:rsidR="003E454A" w:rsidRDefault="003E454A" w:rsidP="003E454A">
      <w:pPr>
        <w:spacing w:line="480" w:lineRule="auto"/>
        <w:ind w:firstLine="720"/>
        <w:rPr>
          <w:rFonts w:ascii="Times New Roman" w:hAnsi="Times New Roman" w:cs="Times New Roman"/>
          <w:sz w:val="24"/>
          <w:szCs w:val="24"/>
        </w:rPr>
      </w:pPr>
    </w:p>
    <w:p w:rsidR="003E454A" w:rsidRDefault="003E454A" w:rsidP="003E454A">
      <w:pPr>
        <w:spacing w:line="480" w:lineRule="auto"/>
        <w:ind w:firstLine="720"/>
        <w:rPr>
          <w:rFonts w:ascii="Times New Roman" w:hAnsi="Times New Roman" w:cs="Times New Roman"/>
          <w:sz w:val="24"/>
          <w:szCs w:val="24"/>
        </w:rPr>
      </w:pPr>
    </w:p>
    <w:p w:rsidR="003E454A" w:rsidRDefault="003E454A" w:rsidP="003E454A">
      <w:pPr>
        <w:spacing w:line="480" w:lineRule="auto"/>
        <w:ind w:firstLine="720"/>
        <w:rPr>
          <w:rFonts w:ascii="Times New Roman" w:hAnsi="Times New Roman" w:cs="Times New Roman"/>
          <w:sz w:val="24"/>
          <w:szCs w:val="24"/>
        </w:rPr>
      </w:pPr>
    </w:p>
    <w:p w:rsidR="003E454A" w:rsidRDefault="003E454A" w:rsidP="003E454A">
      <w:pPr>
        <w:spacing w:line="480" w:lineRule="auto"/>
        <w:ind w:firstLine="720"/>
        <w:rPr>
          <w:rFonts w:ascii="Times New Roman" w:hAnsi="Times New Roman" w:cs="Times New Roman"/>
          <w:sz w:val="24"/>
          <w:szCs w:val="24"/>
        </w:rPr>
      </w:pPr>
    </w:p>
    <w:p w:rsidR="003E454A" w:rsidRDefault="003E454A" w:rsidP="003E454A">
      <w:pPr>
        <w:spacing w:line="480" w:lineRule="auto"/>
        <w:ind w:firstLine="720"/>
        <w:rPr>
          <w:rFonts w:ascii="Times New Roman" w:hAnsi="Times New Roman" w:cs="Times New Roman"/>
          <w:sz w:val="24"/>
          <w:szCs w:val="24"/>
        </w:rPr>
      </w:pPr>
    </w:p>
    <w:p w:rsidR="003E454A" w:rsidRDefault="003E454A" w:rsidP="003E454A">
      <w:pPr>
        <w:spacing w:line="480" w:lineRule="auto"/>
        <w:ind w:firstLine="720"/>
        <w:rPr>
          <w:rFonts w:ascii="Times New Roman" w:hAnsi="Times New Roman" w:cs="Times New Roman"/>
          <w:sz w:val="24"/>
          <w:szCs w:val="24"/>
        </w:rPr>
      </w:pPr>
    </w:p>
    <w:p w:rsidR="003E454A" w:rsidRDefault="003E454A" w:rsidP="003E454A">
      <w:pPr>
        <w:spacing w:line="480" w:lineRule="auto"/>
        <w:ind w:firstLine="720"/>
        <w:rPr>
          <w:rFonts w:ascii="Times New Roman" w:hAnsi="Times New Roman" w:cs="Times New Roman"/>
          <w:sz w:val="24"/>
          <w:szCs w:val="24"/>
        </w:rPr>
      </w:pPr>
    </w:p>
    <w:p w:rsidR="003E454A" w:rsidRDefault="003E454A" w:rsidP="003E454A">
      <w:pPr>
        <w:spacing w:line="480" w:lineRule="auto"/>
        <w:rPr>
          <w:rFonts w:ascii="Times New Roman" w:hAnsi="Times New Roman" w:cs="Times New Roman"/>
          <w:sz w:val="24"/>
          <w:szCs w:val="24"/>
        </w:rPr>
      </w:pPr>
    </w:p>
    <w:p w:rsidR="00426966" w:rsidRDefault="00426966" w:rsidP="003E454A">
      <w:pPr>
        <w:spacing w:line="480" w:lineRule="auto"/>
        <w:rPr>
          <w:rFonts w:ascii="Times New Roman" w:hAnsi="Times New Roman" w:cs="Times New Roman"/>
          <w:sz w:val="24"/>
          <w:szCs w:val="24"/>
        </w:rPr>
      </w:pPr>
    </w:p>
    <w:p w:rsidR="00426966" w:rsidRDefault="00426966" w:rsidP="003E454A">
      <w:pPr>
        <w:spacing w:line="480" w:lineRule="auto"/>
        <w:rPr>
          <w:rFonts w:ascii="Times New Roman" w:hAnsi="Times New Roman" w:cs="Times New Roman"/>
          <w:sz w:val="24"/>
          <w:szCs w:val="24"/>
        </w:rPr>
      </w:pPr>
    </w:p>
    <w:p w:rsidR="00A81057" w:rsidRDefault="00A81057" w:rsidP="003E454A">
      <w:pPr>
        <w:spacing w:line="480" w:lineRule="auto"/>
        <w:rPr>
          <w:rFonts w:ascii="Times New Roman" w:hAnsi="Times New Roman" w:cs="Times New Roman"/>
          <w:sz w:val="24"/>
          <w:szCs w:val="24"/>
        </w:rPr>
      </w:pPr>
    </w:p>
    <w:p w:rsidR="008E1D28" w:rsidRDefault="00D6568F" w:rsidP="00426966">
      <w:pPr>
        <w:spacing w:line="480" w:lineRule="auto"/>
        <w:jc w:val="center"/>
        <w:rPr>
          <w:rFonts w:ascii="Times New Roman" w:hAnsi="Times New Roman" w:cs="Times New Roman"/>
          <w:sz w:val="24"/>
          <w:szCs w:val="24"/>
        </w:rPr>
      </w:pPr>
      <w:r w:rsidRPr="008E1D28">
        <w:rPr>
          <w:rFonts w:ascii="Times New Roman" w:hAnsi="Times New Roman" w:cs="Times New Roman"/>
          <w:sz w:val="24"/>
          <w:szCs w:val="24"/>
        </w:rPr>
        <w:lastRenderedPageBreak/>
        <w:t>References.</w:t>
      </w:r>
    </w:p>
    <w:p w:rsidR="008E1D28" w:rsidRDefault="008E1D28" w:rsidP="008E1D28">
      <w:pPr>
        <w:spacing w:line="480" w:lineRule="auto"/>
        <w:ind w:left="720" w:hanging="720"/>
        <w:rPr>
          <w:rFonts w:ascii="Times New Roman" w:hAnsi="Times New Roman" w:cs="Times New Roman"/>
          <w:sz w:val="24"/>
          <w:szCs w:val="24"/>
        </w:rPr>
      </w:pPr>
      <w:r w:rsidRPr="008E1D28">
        <w:rPr>
          <w:rFonts w:ascii="Times New Roman" w:hAnsi="Times New Roman" w:cs="Times New Roman"/>
          <w:color w:val="000000"/>
          <w:sz w:val="24"/>
          <w:szCs w:val="24"/>
        </w:rPr>
        <w:t>Bullock, J. A. ,Haddow, G. D.  &amp; Coppola, D. P. (2013). Introduction to homeland security (5th ed.). Waltham, MA: Elsevier Inc</w:t>
      </w:r>
      <w:hyperlink r:id="rId6" w:history="1">
        <w:r w:rsidRPr="00491D2D">
          <w:rPr>
            <w:rStyle w:val="Hyperlink"/>
            <w:rFonts w:ascii="Times New Roman" w:hAnsi="Times New Roman" w:cs="Times New Roman"/>
            <w:sz w:val="24"/>
            <w:szCs w:val="24"/>
          </w:rPr>
          <w:t>http://www.gao.gov/new.items/d09168r.pdf</w:t>
        </w:r>
      </w:hyperlink>
    </w:p>
    <w:p w:rsidR="008E1D28" w:rsidRPr="008E1D28" w:rsidRDefault="008E1D28" w:rsidP="008E1D28">
      <w:pPr>
        <w:spacing w:line="480" w:lineRule="auto"/>
        <w:ind w:left="720" w:hanging="720"/>
        <w:rPr>
          <w:rFonts w:ascii="Times New Roman" w:hAnsi="Times New Roman" w:cs="Times New Roman"/>
          <w:color w:val="5B9BD5" w:themeColor="accent1"/>
          <w:sz w:val="24"/>
          <w:szCs w:val="24"/>
        </w:rPr>
      </w:pPr>
      <w:r w:rsidRPr="008E1D28">
        <w:rPr>
          <w:rFonts w:ascii="Times New Roman" w:hAnsi="Times New Roman" w:cs="Times New Roman"/>
          <w:color w:val="000000"/>
          <w:sz w:val="24"/>
          <w:szCs w:val="24"/>
        </w:rPr>
        <w:t xml:space="preserve">National Commission on Terrorist Attacks Upon the United States. (n.d.). The 9/11 Commission report: Executive summary. Retrieved June 11, 2009, from the University of North Texas Libraries Web site: </w:t>
      </w:r>
      <w:r w:rsidRPr="00901ED1">
        <w:rPr>
          <w:rFonts w:ascii="Times New Roman" w:hAnsi="Times New Roman" w:cs="Times New Roman"/>
          <w:color w:val="4472C4" w:themeColor="accent5"/>
          <w:sz w:val="24"/>
          <w:szCs w:val="24"/>
          <w:u w:val="single"/>
        </w:rPr>
        <w:t>http://govinfo.library.unt.edu/911/report/911Report_Exec.pdf</w:t>
      </w:r>
    </w:p>
    <w:p w:rsidR="008E1D28" w:rsidRPr="00901ED1" w:rsidRDefault="008E1D28" w:rsidP="008E1D28">
      <w:pPr>
        <w:pStyle w:val="NormalWeb"/>
        <w:spacing w:before="0" w:beforeAutospacing="0" w:after="0" w:afterAutospacing="0" w:line="480" w:lineRule="auto"/>
        <w:ind w:left="720" w:hanging="720"/>
        <w:rPr>
          <w:color w:val="4472C4" w:themeColor="accent5"/>
          <w:u w:val="single"/>
        </w:rPr>
      </w:pPr>
      <w:r w:rsidRPr="008E1D28">
        <w:rPr>
          <w:color w:val="000000"/>
        </w:rPr>
        <w:t xml:space="preserve">Reese, S. (2009). Department of Homeland Security assistance to states and localities: A summary and issues for the 111th Congress. </w:t>
      </w:r>
      <w:r w:rsidRPr="00901ED1">
        <w:rPr>
          <w:color w:val="4472C4" w:themeColor="accent5"/>
          <w:u w:val="single"/>
        </w:rPr>
        <w:t>Retrieved from http://assets.opencrs.co</w:t>
      </w:r>
    </w:p>
    <w:p w:rsidR="00901ED1" w:rsidRPr="008E1D28" w:rsidRDefault="008E1D28" w:rsidP="00901ED1">
      <w:pPr>
        <w:pStyle w:val="NormalWeb"/>
        <w:spacing w:before="0" w:beforeAutospacing="0" w:after="0" w:afterAutospacing="0" w:line="480" w:lineRule="auto"/>
        <w:ind w:left="720" w:hanging="720"/>
        <w:rPr>
          <w:color w:val="000000"/>
        </w:rPr>
      </w:pPr>
      <w:r w:rsidRPr="008E1D28">
        <w:rPr>
          <w:color w:val="000000"/>
        </w:rPr>
        <w:t>United States Government Accountability Office. (2008). Homeland security grant program risk-based distribution methods: Presentation to congressional committees - November 14, 2008 and December 15, 2008. Retrieved from</w:t>
      </w:r>
      <w:hyperlink r:id="rId7" w:history="1">
        <w:r w:rsidR="00901ED1" w:rsidRPr="00491D2D">
          <w:rPr>
            <w:rStyle w:val="Hyperlink"/>
          </w:rPr>
          <w:t>http://www.gao.gov/new.items/d09168r.pdf</w:t>
        </w:r>
      </w:hyperlink>
    </w:p>
    <w:p w:rsidR="008E1D28" w:rsidRPr="008E1D28" w:rsidRDefault="008E1D28" w:rsidP="008E1D28">
      <w:pPr>
        <w:pStyle w:val="NormalWeb"/>
        <w:spacing w:before="0" w:beforeAutospacing="0" w:after="0" w:afterAutospacing="0" w:line="480" w:lineRule="auto"/>
        <w:ind w:left="720" w:hanging="720"/>
        <w:rPr>
          <w:color w:val="000000"/>
        </w:rPr>
      </w:pPr>
    </w:p>
    <w:p w:rsidR="00BA7AFB" w:rsidRPr="008E1D28" w:rsidRDefault="00BA7AFB" w:rsidP="008E1D28">
      <w:pPr>
        <w:spacing w:line="480" w:lineRule="auto"/>
        <w:ind w:firstLine="720"/>
        <w:rPr>
          <w:rFonts w:ascii="Times New Roman" w:hAnsi="Times New Roman" w:cs="Times New Roman"/>
          <w:sz w:val="24"/>
          <w:szCs w:val="24"/>
        </w:rPr>
      </w:pPr>
      <w:bookmarkStart w:id="0" w:name="_GoBack"/>
      <w:bookmarkEnd w:id="0"/>
    </w:p>
    <w:sectPr w:rsidR="00BA7AFB" w:rsidRPr="008E1D28" w:rsidSect="002400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745" w:rsidRDefault="00D43745" w:rsidP="00240054">
      <w:pPr>
        <w:spacing w:after="0" w:line="240" w:lineRule="auto"/>
      </w:pPr>
      <w:r>
        <w:separator/>
      </w:r>
    </w:p>
  </w:endnote>
  <w:endnote w:type="continuationSeparator" w:id="1">
    <w:p w:rsidR="00D43745" w:rsidRDefault="00D43745" w:rsidP="002400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745" w:rsidRDefault="00D43745" w:rsidP="00240054">
      <w:pPr>
        <w:spacing w:after="0" w:line="240" w:lineRule="auto"/>
      </w:pPr>
      <w:r>
        <w:separator/>
      </w:r>
    </w:p>
  </w:footnote>
  <w:footnote w:type="continuationSeparator" w:id="1">
    <w:p w:rsidR="00D43745" w:rsidRDefault="00D43745" w:rsidP="002400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5540345"/>
      <w:docPartObj>
        <w:docPartGallery w:val="Page Numbers (Top of Page)"/>
        <w:docPartUnique/>
      </w:docPartObj>
    </w:sdtPr>
    <w:sdtEndPr>
      <w:rPr>
        <w:noProof/>
      </w:rPr>
    </w:sdtEndPr>
    <w:sdtContent>
      <w:p w:rsidR="00240054" w:rsidRPr="00240054" w:rsidRDefault="00240054" w:rsidP="00240054">
        <w:pPr>
          <w:rPr>
            <w:rFonts w:ascii="Times New Roman" w:hAnsi="Times New Roman" w:cs="Times New Roman"/>
            <w:sz w:val="24"/>
            <w:szCs w:val="24"/>
          </w:rPr>
        </w:pPr>
      </w:p>
      <w:p w:rsidR="00240054" w:rsidRDefault="007F3C2F" w:rsidP="00240054">
        <w:r>
          <w:rPr>
            <w:rFonts w:ascii="Times New Roman" w:hAnsi="Times New Roman" w:cs="Times New Roman"/>
            <w:sz w:val="24"/>
            <w:szCs w:val="24"/>
          </w:rPr>
          <w:t>GRANT</w:t>
        </w:r>
        <w:r w:rsidR="001D65E2">
          <w:rPr>
            <w:rFonts w:ascii="Times New Roman" w:hAnsi="Times New Roman" w:cs="Times New Roman"/>
            <w:sz w:val="24"/>
            <w:szCs w:val="24"/>
          </w:rPr>
          <w:t xml:space="preserve"> FUNDING FORMULA FOR HOMELAND SECURITY.                   </w:t>
        </w:r>
        <w:r w:rsidR="001D65E2">
          <w:rPr>
            <w:rFonts w:ascii="Times New Roman" w:hAnsi="Times New Roman" w:cs="Times New Roman"/>
            <w:sz w:val="24"/>
            <w:szCs w:val="24"/>
          </w:rPr>
          <w:tab/>
        </w:r>
        <w:r w:rsidR="001D65E2">
          <w:rPr>
            <w:rFonts w:ascii="Times New Roman" w:hAnsi="Times New Roman" w:cs="Times New Roman"/>
            <w:sz w:val="24"/>
            <w:szCs w:val="24"/>
          </w:rPr>
          <w:tab/>
        </w:r>
        <w:r w:rsidR="007C4C10">
          <w:fldChar w:fldCharType="begin"/>
        </w:r>
        <w:r w:rsidR="00240054">
          <w:instrText xml:space="preserve"> PAGE   \* MERGEFORMAT </w:instrText>
        </w:r>
        <w:r w:rsidR="007C4C10">
          <w:fldChar w:fldCharType="separate"/>
        </w:r>
        <w:r w:rsidR="00A81057">
          <w:rPr>
            <w:noProof/>
          </w:rPr>
          <w:t>5</w:t>
        </w:r>
        <w:r w:rsidR="007C4C10">
          <w:rPr>
            <w:noProof/>
          </w:rPr>
          <w:fldChar w:fldCharType="end"/>
        </w:r>
      </w:p>
    </w:sdtContent>
  </w:sdt>
  <w:p w:rsidR="00240054" w:rsidRDefault="002400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054" w:rsidRDefault="001D65E2" w:rsidP="00240054">
    <w:r>
      <w:rPr>
        <w:rFonts w:ascii="Times New Roman" w:hAnsi="Times New Roman" w:cs="Times New Roman"/>
        <w:sz w:val="24"/>
        <w:szCs w:val="24"/>
      </w:rPr>
      <w:t xml:space="preserve">Running head: </w:t>
    </w:r>
    <w:r w:rsidR="007F3C2F">
      <w:rPr>
        <w:rFonts w:ascii="Times New Roman" w:hAnsi="Times New Roman" w:cs="Times New Roman"/>
        <w:sz w:val="24"/>
        <w:szCs w:val="24"/>
      </w:rPr>
      <w:t>GRANT</w:t>
    </w:r>
    <w:r>
      <w:rPr>
        <w:rFonts w:ascii="Times New Roman" w:hAnsi="Times New Roman" w:cs="Times New Roman"/>
        <w:sz w:val="24"/>
        <w:szCs w:val="24"/>
      </w:rPr>
      <w:t xml:space="preserve"> FUNDING FORMULA FOR HOMELAND SECURITY.                   </w:t>
    </w:r>
    <w:r w:rsidR="00240054">
      <w:t>1</w:t>
    </w:r>
  </w:p>
  <w:p w:rsidR="00240054" w:rsidRDefault="0024005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0054"/>
    <w:rsid w:val="00037D7D"/>
    <w:rsid w:val="00092999"/>
    <w:rsid w:val="00112AAB"/>
    <w:rsid w:val="001A22FF"/>
    <w:rsid w:val="001D65E2"/>
    <w:rsid w:val="00240054"/>
    <w:rsid w:val="003C3687"/>
    <w:rsid w:val="003C5BEE"/>
    <w:rsid w:val="003E454A"/>
    <w:rsid w:val="00426966"/>
    <w:rsid w:val="00433DFD"/>
    <w:rsid w:val="004547ED"/>
    <w:rsid w:val="005F000D"/>
    <w:rsid w:val="00620A05"/>
    <w:rsid w:val="006520C2"/>
    <w:rsid w:val="006533D0"/>
    <w:rsid w:val="00722A16"/>
    <w:rsid w:val="00733675"/>
    <w:rsid w:val="00760630"/>
    <w:rsid w:val="007C4C10"/>
    <w:rsid w:val="007D6663"/>
    <w:rsid w:val="007F3C2F"/>
    <w:rsid w:val="008E1D28"/>
    <w:rsid w:val="00901ED1"/>
    <w:rsid w:val="009965D8"/>
    <w:rsid w:val="009A0CF0"/>
    <w:rsid w:val="00A13258"/>
    <w:rsid w:val="00A4553F"/>
    <w:rsid w:val="00A474BE"/>
    <w:rsid w:val="00A81057"/>
    <w:rsid w:val="00AB0FF8"/>
    <w:rsid w:val="00BA7AFB"/>
    <w:rsid w:val="00C34F3D"/>
    <w:rsid w:val="00C811CB"/>
    <w:rsid w:val="00D06196"/>
    <w:rsid w:val="00D43745"/>
    <w:rsid w:val="00D6568F"/>
    <w:rsid w:val="00D80F54"/>
    <w:rsid w:val="00D87E66"/>
    <w:rsid w:val="00E02D7E"/>
    <w:rsid w:val="00EB3438"/>
    <w:rsid w:val="00EB40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C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054"/>
  </w:style>
  <w:style w:type="paragraph" w:styleId="Footer">
    <w:name w:val="footer"/>
    <w:basedOn w:val="Normal"/>
    <w:link w:val="FooterChar"/>
    <w:uiPriority w:val="99"/>
    <w:unhideWhenUsed/>
    <w:rsid w:val="00240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054"/>
  </w:style>
  <w:style w:type="paragraph" w:styleId="NormalWeb">
    <w:name w:val="Normal (Web)"/>
    <w:basedOn w:val="Normal"/>
    <w:uiPriority w:val="99"/>
    <w:semiHidden/>
    <w:unhideWhenUsed/>
    <w:rsid w:val="00BA7A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12AAB"/>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55011270">
      <w:bodyDiv w:val="1"/>
      <w:marLeft w:val="0"/>
      <w:marRight w:val="0"/>
      <w:marTop w:val="0"/>
      <w:marBottom w:val="0"/>
      <w:divBdr>
        <w:top w:val="none" w:sz="0" w:space="0" w:color="auto"/>
        <w:left w:val="none" w:sz="0" w:space="0" w:color="auto"/>
        <w:bottom w:val="none" w:sz="0" w:space="0" w:color="auto"/>
        <w:right w:val="none" w:sz="0" w:space="0" w:color="auto"/>
      </w:divBdr>
    </w:div>
    <w:div w:id="681585290">
      <w:bodyDiv w:val="1"/>
      <w:marLeft w:val="0"/>
      <w:marRight w:val="0"/>
      <w:marTop w:val="0"/>
      <w:marBottom w:val="0"/>
      <w:divBdr>
        <w:top w:val="none" w:sz="0" w:space="0" w:color="auto"/>
        <w:left w:val="none" w:sz="0" w:space="0" w:color="auto"/>
        <w:bottom w:val="none" w:sz="0" w:space="0" w:color="auto"/>
        <w:right w:val="none" w:sz="0" w:space="0" w:color="auto"/>
      </w:divBdr>
    </w:div>
    <w:div w:id="114177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gao.gov/new.items/d09168r.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o.gov/new.items/d09168r.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2019-06-10T20:48:00Z</dcterms:created>
  <dcterms:modified xsi:type="dcterms:W3CDTF">2019-06-10T20:48:00Z</dcterms:modified>
</cp:coreProperties>
</file>